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BE095" w14:textId="027FC84A" w:rsidR="00747B38" w:rsidRPr="0094213D" w:rsidRDefault="009D66CC" w:rsidP="0094213D">
      <w:pPr>
        <w:jc w:val="center"/>
        <w:rPr>
          <w:rFonts w:ascii="Arial" w:hAnsi="Arial" w:cs="Arial"/>
          <w:b/>
          <w:bCs/>
          <w:lang w:val="es-ES"/>
        </w:rPr>
      </w:pPr>
      <w:r w:rsidRPr="0094213D">
        <w:rPr>
          <w:rFonts w:ascii="Arial" w:hAnsi="Arial" w:cs="Arial"/>
          <w:b/>
          <w:bCs/>
          <w:lang w:val="es-ES"/>
        </w:rPr>
        <w:t>Informe ejecutivo</w:t>
      </w:r>
    </w:p>
    <w:p w14:paraId="282A9147" w14:textId="77777777" w:rsidR="009D66CC" w:rsidRPr="009D66CC" w:rsidRDefault="009D66CC" w:rsidP="0094213D">
      <w:pPr>
        <w:jc w:val="both"/>
        <w:rPr>
          <w:rFonts w:ascii="Arial" w:hAnsi="Arial" w:cs="Arial"/>
          <w:b/>
          <w:bCs/>
        </w:rPr>
      </w:pPr>
      <w:r w:rsidRPr="009D66CC">
        <w:rPr>
          <w:rFonts w:ascii="Arial" w:hAnsi="Arial" w:cs="Arial"/>
          <w:b/>
          <w:bCs/>
        </w:rPr>
        <w:t>Resultados con corte al 30 de junio de 2026</w:t>
      </w:r>
    </w:p>
    <w:p w14:paraId="7B33732E" w14:textId="2BAC3F6D" w:rsidR="009D66CC" w:rsidRPr="0094213D" w:rsidRDefault="0094213D" w:rsidP="0094213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94213D">
        <w:rPr>
          <w:rFonts w:ascii="Arial" w:hAnsi="Arial" w:cs="Arial"/>
          <w:lang w:val="es-ES"/>
        </w:rPr>
        <w:t>Alianzas estratégicas</w:t>
      </w:r>
    </w:p>
    <w:p w14:paraId="040D25ED" w14:textId="77777777" w:rsidR="0094213D" w:rsidRPr="0094213D" w:rsidRDefault="0094213D" w:rsidP="0094213D">
      <w:pPr>
        <w:jc w:val="both"/>
        <w:rPr>
          <w:rFonts w:ascii="Arial" w:hAnsi="Arial" w:cs="Arial"/>
          <w:lang w:val="es-ES"/>
        </w:rPr>
      </w:pPr>
      <w:r w:rsidRPr="0094213D">
        <w:rPr>
          <w:rFonts w:ascii="Arial" w:hAnsi="Arial" w:cs="Arial"/>
          <w:lang w:val="es-ES"/>
        </w:rPr>
        <w:t>Durante el primer semestre de 2026, el Observatorio Distrital de Contratación y Lucha Anticorrupción, ODCLA, concentró su gestión en la producción y divulgación de conocimiento, el fortalecimiento de sus herramientas de análisis y la articulación con entidades distritales y nacionales.</w:t>
      </w:r>
    </w:p>
    <w:p w14:paraId="205D0D9F" w14:textId="18608FBC" w:rsidR="0094213D" w:rsidRPr="0094213D" w:rsidRDefault="0094213D" w:rsidP="0094213D">
      <w:pPr>
        <w:jc w:val="both"/>
        <w:rPr>
          <w:rFonts w:ascii="Arial" w:hAnsi="Arial" w:cs="Arial"/>
          <w:lang w:val="es-ES"/>
        </w:rPr>
      </w:pPr>
      <w:r w:rsidRPr="0094213D">
        <w:rPr>
          <w:rFonts w:ascii="Arial" w:hAnsi="Arial" w:cs="Arial"/>
          <w:lang w:val="es-ES"/>
        </w:rPr>
        <w:t>El ODCLA publicó 25 productos, correspondientes a 24 infografías y 1 boletín de análisis, sobre contratación pública, responsabilidad fiscal, acción de repetición, procedimientos sancionatorios contractuales, protección al denunciante y prevención de la corrupción. Estos contenidos facilitaron la divulgación de información jurídica mediante un lenguaje claro y pedagógico.</w:t>
      </w:r>
    </w:p>
    <w:p w14:paraId="3465FACE" w14:textId="77777777" w:rsidR="0094213D" w:rsidRPr="0094213D" w:rsidRDefault="0094213D" w:rsidP="0094213D">
      <w:pPr>
        <w:jc w:val="both"/>
        <w:rPr>
          <w:rFonts w:ascii="Arial" w:hAnsi="Arial" w:cs="Arial"/>
          <w:lang w:val="es-ES"/>
        </w:rPr>
      </w:pPr>
      <w:r w:rsidRPr="0094213D">
        <w:rPr>
          <w:rFonts w:ascii="Arial" w:hAnsi="Arial" w:cs="Arial"/>
          <w:lang w:val="es-ES"/>
        </w:rPr>
        <w:t xml:space="preserve">También avanzó en la migración de 10 tableros de </w:t>
      </w:r>
      <w:proofErr w:type="spellStart"/>
      <w:r w:rsidRPr="0094213D">
        <w:rPr>
          <w:rFonts w:ascii="Arial" w:hAnsi="Arial" w:cs="Arial"/>
          <w:lang w:val="es-ES"/>
        </w:rPr>
        <w:t>Looker</w:t>
      </w:r>
      <w:proofErr w:type="spellEnd"/>
      <w:r w:rsidRPr="0094213D">
        <w:rPr>
          <w:rFonts w:ascii="Arial" w:hAnsi="Arial" w:cs="Arial"/>
          <w:lang w:val="es-ES"/>
        </w:rPr>
        <w:t xml:space="preserve"> Studio a </w:t>
      </w:r>
      <w:proofErr w:type="spellStart"/>
      <w:r w:rsidRPr="0094213D">
        <w:rPr>
          <w:rFonts w:ascii="Arial" w:hAnsi="Arial" w:cs="Arial"/>
          <w:lang w:val="es-ES"/>
        </w:rPr>
        <w:t>Power</w:t>
      </w:r>
      <w:proofErr w:type="spellEnd"/>
      <w:r w:rsidRPr="0094213D">
        <w:rPr>
          <w:rFonts w:ascii="Arial" w:hAnsi="Arial" w:cs="Arial"/>
          <w:lang w:val="es-ES"/>
        </w:rPr>
        <w:t xml:space="preserve"> BI, asociados con las líneas de investigación sobre hallazgos en la gestión contractual, denuncia efectiva, conductas penales y disciplinarias y causas de los procesos en materia de contratación estatal. Además, actualizó la Radiografía de la contratación del Distrito Capital y los tableros de Situaciones de Análisis y Mejora en la Contratación del Distrito Capital.</w:t>
      </w:r>
    </w:p>
    <w:p w14:paraId="68529F2B" w14:textId="4B76DA0A" w:rsidR="0094213D" w:rsidRPr="0094213D" w:rsidRDefault="0094213D" w:rsidP="0094213D">
      <w:pPr>
        <w:jc w:val="both"/>
        <w:rPr>
          <w:rFonts w:ascii="Arial" w:hAnsi="Arial" w:cs="Arial"/>
          <w:lang w:val="es-ES"/>
        </w:rPr>
      </w:pPr>
      <w:r w:rsidRPr="0094213D">
        <w:rPr>
          <w:rFonts w:ascii="Arial" w:hAnsi="Arial" w:cs="Arial"/>
          <w:lang w:val="es-ES"/>
        </w:rPr>
        <w:t>El Observatorio participó en 7 espacios de difusión, en los que presentó criterios para analizar la conducta de los agentes estatales en el ejercicio de la acción de repetición y divulgó los tableros de Situaciones de Análisis y Mejora. Estos espacios incluyeron comités jurídicos, la Plenaria Jurídica de Entidades y Organismos Distritales y mesas de trabajo con Colombia Compra Eficiente y la Secretaría General de la Alcaldía Mayor de Bogotá.</w:t>
      </w:r>
    </w:p>
    <w:p w14:paraId="5A16D8EC" w14:textId="77777777" w:rsidR="0094213D" w:rsidRPr="0094213D" w:rsidRDefault="0094213D" w:rsidP="0094213D">
      <w:pPr>
        <w:jc w:val="both"/>
        <w:rPr>
          <w:rFonts w:ascii="Arial" w:hAnsi="Arial" w:cs="Arial"/>
          <w:lang w:val="es-ES"/>
        </w:rPr>
      </w:pPr>
      <w:r w:rsidRPr="0094213D">
        <w:rPr>
          <w:rFonts w:ascii="Arial" w:hAnsi="Arial" w:cs="Arial"/>
          <w:lang w:val="es-ES"/>
        </w:rPr>
        <w:t>Asimismo, el ODCLA fortaleció su articulación con la Red de Observatorios Distritales, Colombia Compra Eficiente, la Secretaría General y el Comité Intersectorial de Coordinación Jurídica del Sector Integración Social. Esta gestión permitió intercambiar información, revisar inconsistencias en las fuentes de datos, formular propuestas de ajuste y promover la divulgación de los productos del Observatorio.</w:t>
      </w:r>
    </w:p>
    <w:p w14:paraId="0A09F5F8" w14:textId="67747256" w:rsidR="0094213D" w:rsidRPr="0094213D" w:rsidRDefault="0094213D" w:rsidP="0094213D">
      <w:pPr>
        <w:jc w:val="both"/>
        <w:rPr>
          <w:rFonts w:ascii="Arial" w:hAnsi="Arial" w:cs="Arial"/>
          <w:lang w:val="es-ES"/>
        </w:rPr>
      </w:pPr>
      <w:r w:rsidRPr="0094213D">
        <w:rPr>
          <w:rFonts w:ascii="Arial" w:hAnsi="Arial" w:cs="Arial"/>
          <w:lang w:val="es-ES"/>
        </w:rPr>
        <w:t>Para el desarrollo de estas actividades, el ODCLA contó con un equipo de 6 profesionales y adelantó la ejecución de los recursos asignados para la vigencia. En términos generales, los resultados reflejan avances en la generación de conocimiento, la modernización de los instrumentos de consulta y la presencia institucional del Observatorio. Durante el segundo semestre será necesario mantener la actualización de los tableros y fortalecer la producción y publicación de nuevos contenidos.</w:t>
      </w:r>
    </w:p>
    <w:sectPr w:rsidR="0094213D" w:rsidRPr="009421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6B3946"/>
    <w:multiLevelType w:val="hybridMultilevel"/>
    <w:tmpl w:val="AA4A4C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CC"/>
    <w:rsid w:val="005B2F55"/>
    <w:rsid w:val="00747B38"/>
    <w:rsid w:val="0094213D"/>
    <w:rsid w:val="009D66CC"/>
    <w:rsid w:val="00AB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90C3F"/>
  <w15:chartTrackingRefBased/>
  <w15:docId w15:val="{0C3C82C2-B5B6-40C8-AE28-1ADA0143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2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0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Gómez Urueña Abogados</dc:creator>
  <cp:keywords/>
  <dc:description/>
  <cp:lastModifiedBy>Gómez Urueña Abogados</cp:lastModifiedBy>
  <cp:revision>2</cp:revision>
  <dcterms:created xsi:type="dcterms:W3CDTF">2026-07-31T17:50:00Z</dcterms:created>
  <dcterms:modified xsi:type="dcterms:W3CDTF">2026-07-31T19:31:00Z</dcterms:modified>
</cp:coreProperties>
</file>